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328" w14:textId="68BEBD71" w:rsidR="009412CA" w:rsidRDefault="009412CA" w:rsidP="009412CA">
      <w:pPr>
        <w:pStyle w:val="Titre1"/>
        <w:rPr>
          <w:lang w:val="fr-BE" w:eastAsia="fr-BE"/>
        </w:rPr>
      </w:pPr>
      <w:r>
        <w:t>Règlement communal concernant la distribution d’un bon d’achat « colis de Noël » 2021</w:t>
      </w:r>
    </w:p>
    <w:p w14:paraId="2E7B104E" w14:textId="77777777" w:rsidR="009412CA" w:rsidRPr="009412CA" w:rsidRDefault="009412CA" w:rsidP="009412CA">
      <w:pPr>
        <w:pStyle w:val="Titre2"/>
      </w:pPr>
      <w:r w:rsidRPr="009412CA">
        <w:t>Article 1er.</w:t>
      </w:r>
    </w:p>
    <w:p w14:paraId="422D53F5" w14:textId="77777777" w:rsidR="009412CA" w:rsidRPr="009412CA" w:rsidRDefault="009412CA" w:rsidP="009412CA">
      <w:r w:rsidRPr="009412CA">
        <w:t>La commune de ITTRE</w:t>
      </w:r>
      <w:r w:rsidRPr="009412CA">
        <w:rPr>
          <w:rFonts w:ascii="Calibri" w:hAnsi="Calibri" w:cs="Calibri"/>
        </w:rPr>
        <w:t> </w:t>
      </w:r>
      <w:r w:rsidRPr="009412CA">
        <w:rPr>
          <w:rStyle w:val="highlightedsearchterm"/>
          <w:rFonts w:eastAsiaTheme="majorEastAsia" w:cs="Arial"/>
          <w:color w:val="000000"/>
          <w:shd w:val="clear" w:color="auto" w:fill="FFFFAA"/>
        </w:rPr>
        <w:t>octroi</w:t>
      </w:r>
      <w:r w:rsidRPr="009412CA">
        <w:t>e trois bons d’achat «</w:t>
      </w:r>
      <w:r w:rsidRPr="009412CA">
        <w:rPr>
          <w:rFonts w:ascii="Calibri" w:hAnsi="Calibri" w:cs="Calibri"/>
        </w:rPr>
        <w:t> </w:t>
      </w:r>
      <w:r w:rsidRPr="009412CA">
        <w:t>colis de No</w:t>
      </w:r>
      <w:r w:rsidRPr="009412CA">
        <w:rPr>
          <w:rFonts w:cs="Luciole"/>
        </w:rPr>
        <w:t>ë</w:t>
      </w:r>
      <w:r w:rsidRPr="009412CA">
        <w:t>l</w:t>
      </w:r>
      <w:r w:rsidRPr="009412CA">
        <w:rPr>
          <w:rFonts w:ascii="Calibri" w:hAnsi="Calibri" w:cs="Calibri"/>
        </w:rPr>
        <w:t> </w:t>
      </w:r>
      <w:r w:rsidRPr="009412CA">
        <w:rPr>
          <w:rFonts w:cs="Luciole"/>
        </w:rPr>
        <w:t>»</w:t>
      </w:r>
      <w:r w:rsidRPr="009412CA">
        <w:t xml:space="preserve"> d'une valeur de 5 </w:t>
      </w:r>
      <w:r w:rsidRPr="009412CA">
        <w:rPr>
          <w:rFonts w:cs="Luciole"/>
        </w:rPr>
        <w:t>€</w:t>
      </w:r>
      <w:r w:rsidRPr="009412CA">
        <w:t xml:space="preserve"> et un bon </w:t>
      </w:r>
      <w:r w:rsidRPr="009412CA">
        <w:rPr>
          <w:rFonts w:cs="Luciole"/>
        </w:rPr>
        <w:t>à</w:t>
      </w:r>
      <w:r w:rsidRPr="009412CA">
        <w:t xml:space="preserve"> valoir pour un rouleau de sacs poubelles aux personnes inscrites au registre de la population de l</w:t>
      </w:r>
      <w:r w:rsidRPr="009412CA">
        <w:rPr>
          <w:rFonts w:cs="Luciole"/>
        </w:rPr>
        <w:t>’</w:t>
      </w:r>
      <w:r w:rsidRPr="009412CA">
        <w:t>entit</w:t>
      </w:r>
      <w:r w:rsidRPr="009412CA">
        <w:rPr>
          <w:rFonts w:cs="Luciole"/>
        </w:rPr>
        <w:t>é</w:t>
      </w:r>
      <w:r w:rsidRPr="009412CA">
        <w:t xml:space="preserve"> au 1er d</w:t>
      </w:r>
      <w:r w:rsidRPr="009412CA">
        <w:rPr>
          <w:rFonts w:cs="Luciole"/>
        </w:rPr>
        <w:t>é</w:t>
      </w:r>
      <w:r w:rsidRPr="009412CA">
        <w:t>cembre 2021 et rentrant dans les crit</w:t>
      </w:r>
      <w:r w:rsidRPr="009412CA">
        <w:rPr>
          <w:rFonts w:cs="Luciole"/>
        </w:rPr>
        <w:t>è</w:t>
      </w:r>
      <w:r w:rsidRPr="009412CA">
        <w:t>res suivants :</w:t>
      </w:r>
    </w:p>
    <w:p w14:paraId="5FFAACC0" w14:textId="77777777" w:rsidR="009412CA" w:rsidRPr="009412CA" w:rsidRDefault="009412CA" w:rsidP="009412CA">
      <w:r w:rsidRPr="009412CA">
        <w:t>-1/ personnes bénéficiant au 1er décembre 2021 du revenu d'intégration sociale ou de la garantie de revenus aux personnes âgées (GRAPA) ou d'un revenu équivalent ;</w:t>
      </w:r>
    </w:p>
    <w:p w14:paraId="2EC23E48" w14:textId="77777777" w:rsidR="009412CA" w:rsidRPr="009412CA" w:rsidRDefault="009412CA" w:rsidP="009412CA">
      <w:r w:rsidRPr="009412CA">
        <w:t>-2/ personnes ayant atteint l’âge de 65 ans au 31 décembre 2021</w:t>
      </w:r>
    </w:p>
    <w:p w14:paraId="6CDC25A6" w14:textId="77777777" w:rsidR="009412CA" w:rsidRPr="009412CA" w:rsidRDefault="009412CA" w:rsidP="009412CA">
      <w:r w:rsidRPr="009412CA">
        <w:t>-3/ personnes souffrant d’un handicap de 66 % au moins reconnu par le Service Public Fédéral Santé</w:t>
      </w:r>
    </w:p>
    <w:p w14:paraId="549D34CF" w14:textId="77777777" w:rsidR="009412CA" w:rsidRPr="009412CA" w:rsidRDefault="009412CA" w:rsidP="009412CA">
      <w:r w:rsidRPr="009412CA">
        <w:t>Et sous réserve d’inscription et approbation du crédit nécessaire au budget ainsi que dans les limites du présent règlement.</w:t>
      </w:r>
    </w:p>
    <w:p w14:paraId="2DFFCB6E" w14:textId="77777777" w:rsidR="009412CA" w:rsidRDefault="009412CA" w:rsidP="009412CA">
      <w:pPr>
        <w:pStyle w:val="Titre2"/>
      </w:pPr>
      <w:r w:rsidRPr="009412CA">
        <w:rPr>
          <w:b/>
          <w:bCs/>
        </w:rPr>
        <w:t>Article 2.</w:t>
      </w:r>
    </w:p>
    <w:p w14:paraId="492C19D2" w14:textId="77777777" w:rsidR="009412CA" w:rsidRDefault="009412CA" w:rsidP="009412CA">
      <w:r>
        <w:t>Trois bons de 5 €</w:t>
      </w:r>
      <w:r>
        <w:rPr>
          <w:rFonts w:ascii="Calibri" w:hAnsi="Calibri" w:cs="Calibri"/>
        </w:rPr>
        <w:t> </w:t>
      </w:r>
      <w:r>
        <w:t>seront d</w:t>
      </w:r>
      <w:r>
        <w:rPr>
          <w:rFonts w:cs="Luciole"/>
        </w:rPr>
        <w:t>é</w:t>
      </w:r>
      <w:r>
        <w:t>livr</w:t>
      </w:r>
      <w:r>
        <w:rPr>
          <w:rFonts w:cs="Luciole"/>
        </w:rPr>
        <w:t>é</w:t>
      </w:r>
      <w:r>
        <w:t>s par personne r</w:t>
      </w:r>
      <w:r>
        <w:rPr>
          <w:rFonts w:cs="Luciole"/>
        </w:rPr>
        <w:t>é</w:t>
      </w:r>
      <w:r>
        <w:t>pondant aux crit</w:t>
      </w:r>
      <w:r>
        <w:rPr>
          <w:rFonts w:cs="Luciole"/>
        </w:rPr>
        <w:t>è</w:t>
      </w:r>
      <w:r>
        <w:t>res de l'article 1er.</w:t>
      </w:r>
    </w:p>
    <w:p w14:paraId="3BE7657B" w14:textId="77777777" w:rsidR="009412CA" w:rsidRDefault="009412CA" w:rsidP="009412CA">
      <w:r>
        <w:t>Le CPAS sera chargé de délivrer les bons aux personnes répondants aux critères n°1 de l'article 1er après avoir vérifié qu'ils ne rentrent pas dans les catégories des critères 2 et 3 (risque de double emploi).</w:t>
      </w:r>
    </w:p>
    <w:p w14:paraId="372CF182" w14:textId="187F50E3" w:rsidR="009412CA" w:rsidRDefault="009412CA" w:rsidP="009412CA">
      <w:r>
        <w:t xml:space="preserve">L'Administration communale </w:t>
      </w:r>
      <w:r>
        <w:t>enverra les</w:t>
      </w:r>
      <w:r>
        <w:t xml:space="preserve"> bons aux personnes visées par les critères 2 et 3 de l'article 1er.</w:t>
      </w:r>
    </w:p>
    <w:p w14:paraId="5239C930" w14:textId="77777777" w:rsidR="009412CA" w:rsidRPr="009412CA" w:rsidRDefault="009412CA" w:rsidP="009412CA">
      <w:pPr>
        <w:pStyle w:val="Titre2"/>
        <w:rPr>
          <w:b/>
          <w:bCs/>
        </w:rPr>
      </w:pPr>
      <w:r w:rsidRPr="009412CA">
        <w:t>Article 3.</w:t>
      </w:r>
    </w:p>
    <w:p w14:paraId="0DE822CA" w14:textId="6931EB70" w:rsidR="009412CA" w:rsidRDefault="009412CA" w:rsidP="009412CA">
      <w:r>
        <w:t xml:space="preserve">Un </w:t>
      </w:r>
      <w:r>
        <w:t>seul</w:t>
      </w:r>
      <w:r>
        <w:rPr>
          <w:rFonts w:ascii="Calibri" w:hAnsi="Calibri" w:cs="Calibri"/>
        </w:rPr>
        <w:t xml:space="preserve"> </w:t>
      </w:r>
      <w:r w:rsidRPr="009412CA">
        <w:rPr>
          <w:rFonts w:cs="Calibri"/>
        </w:rPr>
        <w:t>bon</w:t>
      </w:r>
      <w:r>
        <w:t xml:space="preserve"> pour un rouleau de sacs poubelles de 30 litres sera d</w:t>
      </w:r>
      <w:r>
        <w:rPr>
          <w:rFonts w:cs="Luciole"/>
        </w:rPr>
        <w:t>é</w:t>
      </w:r>
      <w:r>
        <w:t>livr</w:t>
      </w:r>
      <w:r>
        <w:rPr>
          <w:rFonts w:cs="Luciole"/>
        </w:rPr>
        <w:t>é</w:t>
      </w:r>
      <w:r>
        <w:t xml:space="preserve"> aux personnes isol</w:t>
      </w:r>
      <w:r>
        <w:rPr>
          <w:rFonts w:cs="Luciole"/>
        </w:rPr>
        <w:t>é</w:t>
      </w:r>
      <w:r>
        <w:t>es r</w:t>
      </w:r>
      <w:r>
        <w:rPr>
          <w:rFonts w:cs="Luciole"/>
        </w:rPr>
        <w:t>é</w:t>
      </w:r>
      <w:r>
        <w:t>pondant aux crit</w:t>
      </w:r>
      <w:r>
        <w:rPr>
          <w:rFonts w:cs="Luciole"/>
        </w:rPr>
        <w:t>è</w:t>
      </w:r>
      <w:r>
        <w:t xml:space="preserve">res de l'article 1er et un seul bon pour un rouleau de sacs poubelles de 60 </w:t>
      </w:r>
      <w:r>
        <w:t xml:space="preserve">litres </w:t>
      </w:r>
      <w:r w:rsidRPr="009412CA">
        <w:rPr>
          <w:rFonts w:cs="Calibri"/>
        </w:rPr>
        <w:t>sera</w:t>
      </w:r>
      <w:r>
        <w:t xml:space="preserve"> d</w:t>
      </w:r>
      <w:r>
        <w:rPr>
          <w:rFonts w:cs="Luciole"/>
        </w:rPr>
        <w:t>é</w:t>
      </w:r>
      <w:r>
        <w:t>livr</w:t>
      </w:r>
      <w:r>
        <w:rPr>
          <w:rFonts w:cs="Luciole"/>
        </w:rPr>
        <w:t>é</w:t>
      </w:r>
      <w:r>
        <w:t xml:space="preserve"> par m</w:t>
      </w:r>
      <w:r>
        <w:rPr>
          <w:rFonts w:cs="Luciole"/>
        </w:rPr>
        <w:t>é</w:t>
      </w:r>
      <w:r>
        <w:t>nage dont une personne au moins r</w:t>
      </w:r>
      <w:r>
        <w:rPr>
          <w:rFonts w:cs="Luciole"/>
        </w:rPr>
        <w:t>é</w:t>
      </w:r>
      <w:r>
        <w:t>pond aux crit</w:t>
      </w:r>
      <w:r>
        <w:rPr>
          <w:rFonts w:cs="Luciole"/>
        </w:rPr>
        <w:t>è</w:t>
      </w:r>
      <w:r>
        <w:t>res de l'article 1.</w:t>
      </w:r>
    </w:p>
    <w:p w14:paraId="1D8B4586" w14:textId="77777777" w:rsidR="009412CA" w:rsidRDefault="009412CA" w:rsidP="009412CA">
      <w:r>
        <w:t>Le CPAS sera chargé de délivrer les bons aux personnes répondants aux critères n°1 de l'article 1er après avoir vérifié qu'ils ne rentrent pas dans les catégories des critères 2 et 3 (risque de double emploi).</w:t>
      </w:r>
    </w:p>
    <w:p w14:paraId="02F6EA9E" w14:textId="3B220666" w:rsidR="009412CA" w:rsidRDefault="009412CA" w:rsidP="009412CA">
      <w:r>
        <w:t>L'Administration communale enverra les bons aux personnes vis</w:t>
      </w:r>
      <w:r>
        <w:rPr>
          <w:rFonts w:cs="Luciole"/>
        </w:rPr>
        <w:t>é</w:t>
      </w:r>
      <w:r>
        <w:t>es par les crit</w:t>
      </w:r>
      <w:r>
        <w:rPr>
          <w:rFonts w:cs="Luciole"/>
        </w:rPr>
        <w:t>è</w:t>
      </w:r>
      <w:r>
        <w:t>res 2 et 3 de l'article 1er</w:t>
      </w:r>
    </w:p>
    <w:p w14:paraId="55936712" w14:textId="77777777" w:rsidR="009412CA" w:rsidRPr="009412CA" w:rsidRDefault="009412CA" w:rsidP="009412CA">
      <w:pPr>
        <w:pStyle w:val="Titre2"/>
      </w:pPr>
      <w:r w:rsidRPr="009412CA">
        <w:rPr>
          <w:b/>
          <w:bCs/>
        </w:rPr>
        <w:t>Article 4.</w:t>
      </w:r>
    </w:p>
    <w:p w14:paraId="12E5F5CF" w14:textId="77777777" w:rsidR="009412CA" w:rsidRDefault="009412CA" w:rsidP="009412CA">
      <w:r>
        <w:t>Le bon d’achat devra être utilisé auprès des commerces de l’entité d’Ittre qui auront répondu affirmativement à cette participation, et le bon à valoir «</w:t>
      </w:r>
      <w:r>
        <w:rPr>
          <w:rFonts w:ascii="Calibri" w:hAnsi="Calibri" w:cs="Calibri"/>
        </w:rPr>
        <w:t> </w:t>
      </w:r>
      <w:r>
        <w:t>sacs poubelles</w:t>
      </w:r>
      <w:r>
        <w:rPr>
          <w:rFonts w:ascii="Calibri" w:hAnsi="Calibri" w:cs="Calibri"/>
        </w:rPr>
        <w:t> </w:t>
      </w:r>
      <w:r>
        <w:rPr>
          <w:rFonts w:cs="Luciole"/>
        </w:rPr>
        <w:t>»</w:t>
      </w:r>
      <w:r>
        <w:t xml:space="preserve"> aupr</w:t>
      </w:r>
      <w:r>
        <w:rPr>
          <w:rFonts w:cs="Luciole"/>
        </w:rPr>
        <w:t>è</w:t>
      </w:r>
      <w:r>
        <w:t>s des commer</w:t>
      </w:r>
      <w:r>
        <w:rPr>
          <w:rFonts w:cs="Luciole"/>
        </w:rPr>
        <w:t>ç</w:t>
      </w:r>
      <w:r>
        <w:t xml:space="preserve">ants ittrois en disposant. Le bon pourra </w:t>
      </w:r>
      <w:r>
        <w:rPr>
          <w:rFonts w:cs="Luciole"/>
        </w:rPr>
        <w:t>ê</w:t>
      </w:r>
      <w:r>
        <w:t>tre valablement utilis</w:t>
      </w:r>
      <w:r>
        <w:rPr>
          <w:rFonts w:cs="Luciole"/>
        </w:rPr>
        <w:t>é</w:t>
      </w:r>
      <w:r>
        <w:t xml:space="preserve"> jusqu'au 30 juin</w:t>
      </w:r>
      <w:r>
        <w:rPr>
          <w:rFonts w:ascii="Calibri" w:hAnsi="Calibri" w:cs="Calibri"/>
        </w:rPr>
        <w:t> </w:t>
      </w:r>
      <w:r>
        <w:rPr>
          <w:rStyle w:val="highlightedsearchterm"/>
          <w:rFonts w:ascii="Arial" w:eastAsiaTheme="majorEastAsia" w:hAnsi="Arial" w:cs="Arial"/>
          <w:color w:val="000000"/>
          <w:sz w:val="22"/>
          <w:szCs w:val="22"/>
          <w:shd w:val="clear" w:color="auto" w:fill="FFFFAA"/>
        </w:rPr>
        <w:t>2022</w:t>
      </w:r>
      <w:r>
        <w:t>.</w:t>
      </w:r>
    </w:p>
    <w:p w14:paraId="1B13CFA2" w14:textId="77777777" w:rsidR="009412CA" w:rsidRPr="009412CA" w:rsidRDefault="009412CA" w:rsidP="009412CA">
      <w:pPr>
        <w:pStyle w:val="Titre2"/>
        <w:rPr>
          <w:b/>
          <w:bCs/>
        </w:rPr>
      </w:pPr>
      <w:r w:rsidRPr="009412CA">
        <w:t>Article 5.</w:t>
      </w:r>
    </w:p>
    <w:p w14:paraId="62112DA0" w14:textId="77777777" w:rsidR="009412CA" w:rsidRDefault="009412CA" w:rsidP="009412CA">
      <w:r>
        <w:t>Le remboursement auprès de l'entreprise (commerces) sera engagé sur l’article budgétaire 834/12402 du service ordinaire du budget de l’exercice 2021</w:t>
      </w:r>
      <w:r>
        <w:rPr>
          <w:rFonts w:ascii="Calibri" w:hAnsi="Calibri" w:cs="Calibri"/>
        </w:rPr>
        <w:t> </w:t>
      </w:r>
      <w:r>
        <w:t>et 040/33101.</w:t>
      </w:r>
      <w:proofErr w:type="gramStart"/>
      <w:r>
        <w:t>2019 ,</w:t>
      </w:r>
      <w:proofErr w:type="gramEnd"/>
      <w:r>
        <w:rPr>
          <w:rFonts w:ascii="Calibri" w:hAnsi="Calibri" w:cs="Calibri"/>
        </w:rPr>
        <w:t> </w:t>
      </w:r>
      <w:r>
        <w:t xml:space="preserve"> 2020.et 2021</w:t>
      </w:r>
    </w:p>
    <w:p w14:paraId="481040AC" w14:textId="77777777" w:rsidR="009412CA" w:rsidRPr="009412CA" w:rsidRDefault="009412CA" w:rsidP="009412CA">
      <w:pPr>
        <w:pStyle w:val="Titre2"/>
      </w:pPr>
      <w:r w:rsidRPr="009412CA">
        <w:rPr>
          <w:b/>
          <w:bCs/>
        </w:rPr>
        <w:t>Article 6.</w:t>
      </w:r>
    </w:p>
    <w:p w14:paraId="328DCF64" w14:textId="77777777" w:rsidR="009412CA" w:rsidRDefault="009412CA" w:rsidP="009412CA">
      <w:r>
        <w:t>La facture accompagnée des bons d'achat est à remettre au service Finances par l'entreprise jusqu'au 31 décembre</w:t>
      </w:r>
      <w:r>
        <w:rPr>
          <w:rFonts w:ascii="Calibri" w:hAnsi="Calibri" w:cs="Calibri"/>
        </w:rPr>
        <w:t> </w:t>
      </w:r>
      <w:r>
        <w:rPr>
          <w:rStyle w:val="highlightedsearchterm"/>
          <w:rFonts w:ascii="Arial" w:eastAsiaTheme="majorEastAsia" w:hAnsi="Arial" w:cs="Arial"/>
          <w:color w:val="000000"/>
          <w:sz w:val="22"/>
          <w:szCs w:val="22"/>
          <w:shd w:val="clear" w:color="auto" w:fill="FFFFAA"/>
        </w:rPr>
        <w:t>2022</w:t>
      </w:r>
      <w:r>
        <w:t>. Il sera liquidé par virement sur un compte financier ouvert au nom de l’entreprise.</w:t>
      </w:r>
    </w:p>
    <w:p w14:paraId="205A584A" w14:textId="77777777" w:rsidR="00495515" w:rsidRDefault="00495515"/>
    <w:sectPr w:rsidR="00495515" w:rsidSect="0094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CA"/>
    <w:rsid w:val="00015B40"/>
    <w:rsid w:val="00255070"/>
    <w:rsid w:val="00495515"/>
    <w:rsid w:val="007C423A"/>
    <w:rsid w:val="009412CA"/>
    <w:rsid w:val="00B6555A"/>
    <w:rsid w:val="00C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44DB"/>
  <w15:chartTrackingRefBased/>
  <w15:docId w15:val="{1D0C4549-0A0C-4971-9B00-F8A28B36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40"/>
    <w:pPr>
      <w:spacing w:after="0" w:line="240" w:lineRule="auto"/>
    </w:pPr>
    <w:rPr>
      <w:rFonts w:ascii="Luciole" w:hAnsi="Luciole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6555A"/>
    <w:pPr>
      <w:keepNext/>
      <w:keepLines/>
      <w:spacing w:before="120"/>
      <w:outlineLvl w:val="0"/>
    </w:pPr>
    <w:rPr>
      <w:rFonts w:ascii="Myriad Pro Cond" w:hAnsi="Myriad Pro Cond"/>
      <w:iCs/>
      <w:color w:val="365F91"/>
      <w:sz w:val="48"/>
      <w:szCs w:val="48"/>
    </w:rPr>
  </w:style>
  <w:style w:type="paragraph" w:styleId="Titre2">
    <w:name w:val="heading 2"/>
    <w:basedOn w:val="Titre1"/>
    <w:next w:val="Normal"/>
    <w:link w:val="Titre2Car"/>
    <w:autoRedefine/>
    <w:qFormat/>
    <w:rsid w:val="009412CA"/>
    <w:pPr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55070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55070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555A"/>
    <w:rPr>
      <w:rFonts w:ascii="Myriad Pro Cond" w:eastAsia="Times New Roman" w:hAnsi="Myriad Pro Cond" w:cs="Times New Roman"/>
      <w:iCs/>
      <w:color w:val="365F91"/>
      <w:sz w:val="48"/>
      <w:szCs w:val="48"/>
    </w:rPr>
  </w:style>
  <w:style w:type="character" w:customStyle="1" w:styleId="Titre2Car">
    <w:name w:val="Titre 2 Car"/>
    <w:basedOn w:val="Policepardfaut"/>
    <w:link w:val="Titre2"/>
    <w:rsid w:val="009412CA"/>
    <w:rPr>
      <w:rFonts w:ascii="Myriad Pro Cond" w:hAnsi="Myriad Pro Cond" w:cs="Times New Roman"/>
      <w:iCs/>
      <w:color w:val="365F91"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255070"/>
    <w:rPr>
      <w:rFonts w:ascii="Luciole" w:eastAsiaTheme="majorEastAsia" w:hAnsi="Luciole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255070"/>
    <w:rPr>
      <w:rFonts w:ascii="Luciole" w:eastAsiaTheme="majorEastAsia" w:hAnsi="Luciole" w:cstheme="majorBidi"/>
      <w:i/>
      <w:iCs/>
      <w:color w:val="2F5496" w:themeColor="accent1" w:themeShade="BF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412C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9412CA"/>
    <w:rPr>
      <w:b/>
      <w:bCs/>
    </w:rPr>
  </w:style>
  <w:style w:type="character" w:customStyle="1" w:styleId="highlightedsearchterm">
    <w:name w:val="highlightedsearchterm"/>
    <w:basedOn w:val="Policepardfaut"/>
    <w:rsid w:val="0094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Sevilla</dc:creator>
  <cp:keywords/>
  <dc:description/>
  <cp:lastModifiedBy>Pedro Sevilla</cp:lastModifiedBy>
  <cp:revision>1</cp:revision>
  <dcterms:created xsi:type="dcterms:W3CDTF">2021-12-27T12:28:00Z</dcterms:created>
  <dcterms:modified xsi:type="dcterms:W3CDTF">2021-12-27T12:33:00Z</dcterms:modified>
</cp:coreProperties>
</file>